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rFonts w:cs="Tahoma" w:ascii="Tahoma" w:hAnsi="Tahoma"/>
          <w:b/>
          <w:sz w:val="22"/>
          <w:szCs w:val="22"/>
        </w:rPr>
      </w:pPr>
      <w:bookmarkStart w:id="0" w:name="_GoBack"/>
      <w:bookmarkEnd w:id="0"/>
      <w:r>
        <w:rPr>
          <w:rFonts w:cs="Tahoma" w:ascii="Tahoma" w:hAnsi="Tahoma"/>
          <w:b/>
          <w:sz w:val="22"/>
          <w:szCs w:val="22"/>
        </w:rPr>
        <w:t>ADMI_16_12_19</w:t>
      </w:r>
    </w:p>
    <w:p>
      <w:pPr>
        <w:pStyle w:val="Normal"/>
        <w:rPr>
          <w:rFonts w:eastAsia="Arial" w:cs="Tahoma" w:ascii="Tahoma" w:hAnsi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SECTEUR</w:t>
      </w:r>
      <w:r>
        <w:rPr>
          <w:rFonts w:eastAsia="Arial"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ADMINISTRATIF</w:t>
      </w:r>
      <w:r>
        <w:rPr>
          <w:rFonts w:eastAsia="Arial" w:cs="Tahoma" w:ascii="Tahoma" w:hAnsi="Tahoma"/>
          <w:b/>
          <w:sz w:val="22"/>
          <w:szCs w:val="22"/>
        </w:rPr>
        <w:t xml:space="preserve">   </w:t>
      </w:r>
    </w:p>
    <w:p>
      <w:pPr>
        <w:pStyle w:val="Normal"/>
        <w:rPr>
          <w:rFonts w:cs="Tahoma" w:ascii="Tahoma" w:hAnsi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ADMI 2019-20 _0013</w:t>
      </w:r>
    </w:p>
    <w:p>
      <w:pPr>
        <w:pStyle w:val="Normal"/>
        <w:rPr>
          <w:rStyle w:val="LienInternet"/>
          <w:rFonts w:cs="Tahoma" w:ascii="Tahoma" w:hAnsi="Tahoma"/>
          <w:color w:val="00000A"/>
        </w:rPr>
      </w:pPr>
      <w:hyperlink r:id="rId2">
        <w:r>
          <w:rPr>
            <w:rStyle w:val="LienInternet"/>
            <w:rFonts w:cs="Tahoma" w:ascii="Tahoma" w:hAnsi="Tahoma"/>
            <w:color w:val="00000A"/>
          </w:rPr>
          <w:t>administratif@snuipp.fr</w:t>
        </w:r>
      </w:hyperlink>
    </w:p>
    <w:p>
      <w:pPr>
        <w:pStyle w:val="Normal"/>
        <w:rPr>
          <w:rFonts w:cs="Tahoma" w:ascii="Tahoma" w:hAnsi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jc w:val="right"/>
        <w:rPr>
          <w:rFonts w:cs="Tahoma" w:ascii="Tahoma" w:hAnsi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Paris, le 16 décembre 2019</w:t>
      </w:r>
    </w:p>
    <w:p>
      <w:pPr>
        <w:pStyle w:val="Normal"/>
        <w:jc w:val="right"/>
        <w:rPr>
          <w:rFonts w:cs="Tahoma" w:ascii="Tahoma" w:hAnsi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jc w:val="right"/>
        <w:rPr>
          <w:rFonts w:cs="Tahoma" w:ascii="Tahoma" w:hAnsi="Tahoma"/>
          <w:b/>
          <w:bCs/>
          <w:i/>
          <w:iCs/>
          <w:sz w:val="28"/>
          <w:szCs w:val="28"/>
        </w:rPr>
      </w:pPr>
      <w:r>
        <w:rPr>
          <w:rFonts w:cs="Tahoma" w:ascii="Tahoma" w:hAnsi="Tahoma"/>
          <w:b/>
          <w:bCs/>
          <w:i/>
          <w:iCs/>
          <w:sz w:val="28"/>
          <w:szCs w:val="28"/>
        </w:rPr>
        <w:t>Aux secrétaires des sections Départementales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 xml:space="preserve">Jour de carence, modification : </w:t>
      </w:r>
      <w:r>
        <w:rPr>
          <w:rFonts w:ascii="Tahoma" w:hAnsi="Tahoma"/>
          <w:b/>
          <w:bCs/>
          <w:sz w:val="28"/>
          <w:szCs w:val="28"/>
        </w:rPr>
        <w:t xml:space="preserve">non application du jour de carence aux congés de maladie ordinaire des collègues </w:t>
      </w:r>
    </w:p>
    <w:p>
      <w:pPr>
        <w:pStyle w:val="Normal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ayant déclaré leur état de grossesse. </w:t>
      </w:r>
    </w:p>
    <w:p>
      <w:pPr>
        <w:pStyle w:val="Normal"/>
        <w:rPr>
          <w:rFonts w:cs="Tahoma" w:ascii="Tahoma" w:hAnsi="Tahoma"/>
          <w:b/>
          <w:bCs/>
          <w:i/>
          <w:iCs/>
          <w:sz w:val="28"/>
          <w:szCs w:val="28"/>
        </w:rPr>
      </w:pPr>
      <w:r>
        <w:rPr>
          <w:rFonts w:cs="Tahoma" w:ascii="Tahoma" w:hAnsi="Tahoma"/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>Textes de références :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jc w:val="both"/>
        <w:rPr>
          <w:rFonts w:cs="Tahoma" w:ascii="Tahoma" w:hAnsi="Tahoma"/>
        </w:rPr>
      </w:pPr>
      <w:r>
        <w:rPr>
          <w:rFonts w:cs="Tahoma" w:ascii="Tahoma" w:hAnsi="Tahoma"/>
        </w:rPr>
        <w:t>Loi n°2017-1837 du 30 décembre 2017 de finances pour 2018 portant création du jour de carence (article 115) ;</w:t>
      </w:r>
    </w:p>
    <w:p>
      <w:pPr>
        <w:pStyle w:val="Normal"/>
        <w:numPr>
          <w:ilvl w:val="0"/>
          <w:numId w:val="1"/>
        </w:numPr>
        <w:jc w:val="both"/>
        <w:rPr>
          <w:rFonts w:cs="Tahoma" w:ascii="Tahoma" w:hAnsi="Tahoma"/>
        </w:rPr>
      </w:pPr>
      <w:r>
        <w:rPr>
          <w:rFonts w:cs="Tahoma" w:ascii="Tahoma" w:hAnsi="Tahoma"/>
        </w:rPr>
        <w:t>Circulaire du 15 février 2018 (NOR:CPAF1802864C) du Ministère de l'action et des comptes publics relative au non versement de la rémunération au titre du premier jour de congé de maladie des agents publics civils et militaires ;</w:t>
      </w:r>
    </w:p>
    <w:p>
      <w:pPr>
        <w:pStyle w:val="Normal"/>
        <w:numPr>
          <w:ilvl w:val="0"/>
          <w:numId w:val="2"/>
        </w:numPr>
        <w:jc w:val="both"/>
        <w:rPr>
          <w:rFonts w:cs="Tahoma" w:ascii="Tahoma" w:hAnsi="Tahoma"/>
        </w:rPr>
      </w:pPr>
      <w:r>
        <w:rPr>
          <w:rFonts w:cs="Tahoma" w:ascii="Tahoma" w:hAnsi="Tahoma"/>
        </w:rPr>
        <w:t>Loi n°2019-828 du 6 Août 2019 de transformation de la fonction publique (article 84).</w:t>
      </w:r>
    </w:p>
    <w:p>
      <w:pPr>
        <w:pStyle w:val="Normal"/>
        <w:ind w:left="720" w:right="0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>La loi n°2019-828 du 6 Août 2019 de transformation de la Fonction Publique a modifié les conditions de non application du jour de carence.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/>
          <w:b/>
          <w:bCs/>
        </w:rPr>
      </w:pPr>
      <w:r>
        <w:rPr>
          <w:rFonts w:cs="Tahoma" w:ascii="Tahoma" w:hAnsi="Tahoma"/>
        </w:rPr>
        <w:t xml:space="preserve">A compter du 8 août 2019, </w:t>
      </w:r>
      <w:r>
        <w:rPr>
          <w:rFonts w:ascii="Tahoma" w:hAnsi="Tahoma"/>
        </w:rPr>
        <w:t xml:space="preserve">la non application du jour de carence concerne également </w:t>
      </w:r>
      <w:r>
        <w:rPr>
          <w:rFonts w:ascii="Tahoma" w:hAnsi="Tahoma"/>
          <w:b/>
          <w:bCs/>
        </w:rPr>
        <w:t xml:space="preserve">les </w:t>
      </w:r>
      <w:r>
        <w:rPr>
          <w:rFonts w:cs="Tahoma"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 xml:space="preserve">congés de maladie accordés aux agentes postérieurement à la déclaration de grossesse et avant le début du congé de maternité. </w:t>
      </w:r>
    </w:p>
    <w:p>
      <w:pPr>
        <w:pStyle w:val="Normal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  <w:t xml:space="preserve">Les congés de maladie ordinaire pris avant le 8 août 2019 ne sont pas concernés par cette disposition. Par contre, les retenues sur salaires correspondant aux jours de carence appliqués après le 8 août 2019 doivent être ré-versées aux intéressées. 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  <w:t>Les autres modalités d’application du jour de carence prévues par la circulaire du 15 février 2018 restent inchangées (Voir circulaire du secteur administratif  n°37 du 30 avril 2018).</w:t>
      </w:r>
    </w:p>
    <w:p>
      <w:pPr>
        <w:pStyle w:val="Normal"/>
        <w:jc w:val="both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</w:r>
    </w:p>
    <w:p>
      <w:pPr>
        <w:pStyle w:val="Normal"/>
        <w:jc w:val="both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</w:r>
    </w:p>
    <w:p>
      <w:pPr>
        <w:pStyle w:val="Normal"/>
        <w:jc w:val="both"/>
        <w:rPr>
          <w:rFonts w:ascii="Tahoma" w:hAnsi="Tahoma"/>
          <w:b/>
          <w:bCs/>
        </w:rPr>
      </w:pPr>
      <w:r>
        <w:rPr>
          <w:rFonts w:ascii="Tahoma" w:hAnsi="Tahoma"/>
        </w:rPr>
        <w:t>Par ailleurs, la DGAFP a édité un g</w:t>
      </w:r>
      <w:r>
        <w:rPr>
          <w:rFonts w:cs="Tahoma" w:ascii="Tahoma" w:hAnsi="Tahoma"/>
        </w:rPr>
        <w:t xml:space="preserve">uide de présentation de la loi du 6 août 2019 : </w:t>
      </w:r>
      <w:hyperlink r:id="rId3">
        <w:r>
          <w:rPr>
            <w:rStyle w:val="LienInternet"/>
            <w:rFonts w:cs="Tahoma" w:ascii="Tahoma" w:hAnsi="Tahoma"/>
          </w:rPr>
          <w:t>https://www.fonction-publique.gouv.fr/files/files/20190927-guide-presentation-LTFP.pdf</w:t>
        </w:r>
      </w:hyperlink>
      <w:r>
        <w:rPr>
          <w:rFonts w:ascii="Tahoma" w:hAnsi="Tahoma"/>
          <w:b/>
          <w:bCs/>
        </w:rPr>
        <w:t xml:space="preserve"> </w:t>
      </w:r>
    </w:p>
    <w:p>
      <w:pPr>
        <w:pStyle w:val="Normal"/>
        <w:jc w:val="both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</w:r>
    </w:p>
    <w:p>
      <w:pPr>
        <w:pStyle w:val="Normal"/>
        <w:jc w:val="both"/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</w:r>
    </w:p>
    <w:p>
      <w:pPr>
        <w:pStyle w:val="Normal"/>
        <w:jc w:val="right"/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</w:r>
    </w:p>
    <w:p>
      <w:pPr>
        <w:pStyle w:val="Normal"/>
        <w:jc w:val="right"/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</w:r>
    </w:p>
    <w:p>
      <w:pPr>
        <w:pStyle w:val="Normal"/>
        <w:jc w:val="right"/>
        <w:rPr>
          <w:rFonts w:cs="Tahoma" w:ascii="Tahoma" w:hAnsi="Tahoma"/>
          <w:b/>
          <w:bCs/>
          <w:i/>
          <w:iCs/>
          <w:sz w:val="28"/>
          <w:szCs w:val="28"/>
        </w:rPr>
      </w:pPr>
      <w:r>
        <w:rPr>
          <w:rFonts w:cs="Tahoma" w:ascii="Tahoma" w:hAnsi="Tahoma"/>
          <w:b/>
          <w:bCs/>
          <w:i/>
          <w:iCs/>
          <w:sz w:val="28"/>
          <w:szCs w:val="28"/>
        </w:rPr>
        <w:t>Le Secteur Administratif</w:t>
      </w:r>
    </w:p>
    <w:sectPr>
      <w:type w:val="nextPage"/>
      <w:pgSz w:w="11906" w:h="16838"/>
      <w:pgMar w:left="1134" w:right="1134" w:header="0" w:top="1020" w:footer="0" w:bottom="72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Lucida Sans"/>
        <w:szCs w:val="24"/>
        <w:lang w:val="fr-FR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cs="Times New Roman" w:ascii="Times New Roman" w:hAnsi="Times New Roman"/>
      <w:color w:val="auto"/>
      <w:sz w:val="24"/>
      <w:szCs w:val="24"/>
      <w:lang w:bidi="ar-SA" w:val="fr-FR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 w:customStyle="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 w:customStyle="1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  <w:color w:val="000000"/>
      <w:sz w:val="22"/>
      <w:szCs w:val="22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2"/>
      <w:szCs w:val="22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b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xtedebullesCar" w:customStyle="1">
    <w:name w:val="Texte de bulles Car"/>
    <w:qFormat/>
    <w:rPr>
      <w:rFonts w:ascii="Tahoma" w:hAnsi="Tahoma" w:eastAsia="Lucida Sans Unicode" w:cs="Tahoma"/>
      <w:sz w:val="16"/>
      <w:szCs w:val="16"/>
    </w:rPr>
  </w:style>
  <w:style w:type="character" w:styleId="EntteCar" w:customStyle="1">
    <w:name w:val="En-tête Car"/>
    <w:qFormat/>
    <w:rPr>
      <w:rFonts w:eastAsia="Lucida Sans Unicode"/>
      <w:sz w:val="24"/>
      <w:szCs w:val="24"/>
    </w:rPr>
  </w:style>
  <w:style w:type="character" w:styleId="PieddepageCar" w:customStyle="1">
    <w:name w:val="Pied de page Car"/>
    <w:qFormat/>
    <w:rPr>
      <w:rFonts w:eastAsia="Lucida Sans Unicode"/>
      <w:sz w:val="24"/>
      <w:szCs w:val="24"/>
    </w:rPr>
  </w:style>
  <w:style w:type="character" w:styleId="LienInternet" w:customStyle="1">
    <w:name w:val="Lien Internet"/>
    <w:rPr>
      <w:color w:val="000080"/>
      <w:u w:val="single"/>
      <w:lang w:val="zxx" w:eastAsia="zxx" w:bidi="zxx"/>
    </w:rPr>
  </w:style>
  <w:style w:type="character" w:styleId="Accentuation">
    <w:name w:val="Accentuation"/>
    <w:qFormat/>
    <w:rPr>
      <w:i/>
      <w:iCs/>
    </w:rPr>
  </w:style>
  <w:style w:type="character" w:styleId="LienInternetvisit" w:customStyle="1">
    <w:name w:val="Lien Internet visité"/>
    <w:rPr>
      <w:color w:val="800000"/>
      <w:u w:val="single"/>
      <w:lang w:val="zxx" w:eastAsia="zxx" w:bidi="zxx"/>
    </w:rPr>
  </w:style>
  <w:style w:type="character" w:styleId="ListLabel1">
    <w:name w:val="ListLabel 1"/>
    <w:rPr>
      <w:rFonts w:cs="StarSymbol;Arial Unicode MS"/>
      <w:sz w:val="18"/>
      <w:szCs w:val="1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 w:customStyle="1">
    <w:name w:val="Corps de texte"/>
    <w:qFormat/>
    <w:basedOn w:val="WWStandard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qFormat/>
    <w:basedOn w:val="Normal"/>
    <w:pPr>
      <w:suppressLineNumbers/>
    </w:pPr>
    <w:rPr>
      <w:rFonts w:cs="Tahoma"/>
    </w:rPr>
  </w:style>
  <w:style w:type="paragraph" w:styleId="Titreprincipal">
    <w:name w:val="Titre principal"/>
    <w:qFormat/>
    <w:basedOn w:val="Normal"/>
    <w:pPr>
      <w:keepNext/>
      <w:spacing w:before="240" w:after="120"/>
      <w:jc w:val="left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Titre1" w:customStyle="1">
    <w:name w:val="Titre1"/>
    <w:qFormat/>
    <w:basedOn w:val="Normal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gende1" w:customStyle="1">
    <w:name w:val="Légende1"/>
    <w:qFormat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qFormat/>
    <w:basedOn w:val="Normal"/>
    <w:pPr/>
    <w:rPr>
      <w:rFonts w:ascii="Tahoma" w:hAnsi="Tahoma" w:cs="Tahoma"/>
      <w:sz w:val="16"/>
      <w:szCs w:val="16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WStandard" w:customStyle="1">
    <w:name w:val="WW-Standard"/>
    <w:qFormat/>
    <w:pPr>
      <w:widowControl w:val="false"/>
      <w:suppressAutoHyphens w:val="true"/>
      <w:bidi w:val="0"/>
      <w:jc w:val="left"/>
      <w:textAlignment w:val="baseline"/>
    </w:pPr>
    <w:rPr>
      <w:rFonts w:eastAsia="Lucida Sans Unicode" w:cs="Mangal;Courier" w:ascii="Times New Roman" w:hAnsi="Times New Roman"/>
      <w:color w:val="auto"/>
      <w:sz w:val="24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istratif@snuipp.fr" TargetMode="External"/><Relationship Id="rId3" Type="http://schemas.openxmlformats.org/officeDocument/2006/relationships/hyperlink" Target="https://www.fonction-publique.gouv.fr/files/files/20190927-guide-presentation-LTFP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370D404.dotm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2019-12-18T08:57:00Z</dcterms:created>
  <dc:creator>moi ici</dc:creator>
  <dc:language>fr-FR</dc:language>
  <cp:lastModifiedBy>jean-pierre clavere</cp:lastModifiedBy>
  <cp:lastPrinted>2019-11-29T10:22:00Z</cp:lastPrinted>
  <dcterms:modified xsi:type="dcterms:W3CDTF">2019-12-18T08:57:00Z</dcterms:modified>
  <cp:revision>2</cp:revision>
  <dc:title>ADMI_08_10_10</dc:title>
</cp:coreProperties>
</file>